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Resourceful Partners Panel Contacts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u w:val="single"/>
          <w:rtl w:val="0"/>
        </w:rPr>
        <w:t xml:space="preserve">Moderator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Flaherty &amp; Hood, P.A.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Darielle Dannen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Senior Attorney / Lobbyist </w:t>
      </w:r>
    </w:p>
    <w:p w:rsidR="00000000" w:rsidDel="00000000" w:rsidP="00000000" w:rsidRDefault="00000000" w:rsidRPr="00000000" w14:paraId="00000007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djdannen@flaherty-hood.com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651-259-1908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u w:val="single"/>
          <w:rtl w:val="0"/>
        </w:rPr>
        <w:t xml:space="preserve">Panelists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Arrowhead Regional Development Commission (ARDC)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Josh Bergstad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Principal Planner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7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jbergstad@ardc.org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218-529-7516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Kansas State University Technical Assistance to Brownfields (KSU TAB)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Kristin Prososki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KSU TAB Assistant Director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8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kp3@ksu.edu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Minnesota Brownfields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Heidi Timm-Bijold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Chief Professional Officer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9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heidi@projectnavigation.llc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218-348-8754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Minnesota Department of Employment &amp; Economic Development (MN DEED)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Kristin Lukes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Director of Brownfields and Redevelopment Unit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10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kristin.lukes@state.mn.us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651-259-7451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Minnesota Department of Iron Range Resources &amp; Rehabilitation (MN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IRRR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Whitney Ridlon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Director of Community Development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11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whitney.ridlon@state.mn.us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218-735-3004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Minnesota Pollution Control Agency (MPCA)</w:t>
      </w:r>
    </w:p>
    <w:p w:rsidR="00000000" w:rsidDel="00000000" w:rsidP="00000000" w:rsidRDefault="00000000" w:rsidRPr="00000000" w14:paraId="00000029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Crystal Mogensen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Brownfields Outreach Planner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12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crystal.mogensen@state.mn.us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651-757-2283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E">
      <w:pPr>
        <w:spacing w:line="240" w:lineRule="auto"/>
        <w:ind w:firstLine="720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Park State Bank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Jennifer Wainionpaa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  <w:t xml:space="preserve">VP Business Banking Officer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ab/>
      </w:r>
      <w:hyperlink r:id="rId13">
        <w:r w:rsidDel="00000000" w:rsidR="00000000" w:rsidRPr="00000000">
          <w:rPr>
            <w:rFonts w:ascii="Open Sans" w:cs="Open Sans" w:eastAsia="Open Sans" w:hAnsi="Open Sans"/>
            <w:sz w:val="18"/>
            <w:szCs w:val="18"/>
            <w:rtl w:val="0"/>
          </w:rPr>
          <w:t xml:space="preserve">jwainionpaa@parkstatebank.com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ind w:firstLine="720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218-231-8008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whitney.ridlon@state.mn.us" TargetMode="External"/><Relationship Id="rId10" Type="http://schemas.openxmlformats.org/officeDocument/2006/relationships/hyperlink" Target="mailto:kristin.lukes@state.mn.us" TargetMode="External"/><Relationship Id="rId13" Type="http://schemas.openxmlformats.org/officeDocument/2006/relationships/hyperlink" Target="mailto:jwainionpaa@parkstatebank.com" TargetMode="External"/><Relationship Id="rId12" Type="http://schemas.openxmlformats.org/officeDocument/2006/relationships/hyperlink" Target="mailto:crystal.mogensen@state.mn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idi@projectnavigation.llc" TargetMode="External"/><Relationship Id="rId5" Type="http://schemas.openxmlformats.org/officeDocument/2006/relationships/styles" Target="styles.xml"/><Relationship Id="rId6" Type="http://schemas.openxmlformats.org/officeDocument/2006/relationships/hyperlink" Target="mailto:djdannen@flaherty-hood.com" TargetMode="External"/><Relationship Id="rId7" Type="http://schemas.openxmlformats.org/officeDocument/2006/relationships/hyperlink" Target="mailto:jbergstad@ardc.org" TargetMode="External"/><Relationship Id="rId8" Type="http://schemas.openxmlformats.org/officeDocument/2006/relationships/hyperlink" Target="mailto:kp3@ksu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